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59" w:rsidRPr="0060259E" w:rsidRDefault="00974591" w:rsidP="00A53959">
      <w:pPr>
        <w:ind w:left="4253" w:right="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53959" w:rsidRPr="0060259E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3959" w:rsidRPr="0060259E" w:rsidRDefault="00A53959" w:rsidP="00A53959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342CC7" w:rsidRDefault="00A53959" w:rsidP="0060259E">
      <w:pPr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C7">
        <w:rPr>
          <w:rFonts w:ascii="Times New Roman" w:eastAsia="Times New Roman" w:hAnsi="Times New Roman" w:cs="Times New Roman"/>
          <w:sz w:val="28"/>
          <w:szCs w:val="28"/>
        </w:rPr>
        <w:t xml:space="preserve">Решением единственного участника </w:t>
      </w:r>
    </w:p>
    <w:p w:rsidR="00A53959" w:rsidRPr="00342CC7" w:rsidRDefault="00A53959" w:rsidP="0060259E">
      <w:pPr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C7">
        <w:rPr>
          <w:rFonts w:ascii="Times New Roman" w:eastAsia="Times New Roman" w:hAnsi="Times New Roman" w:cs="Times New Roman"/>
          <w:sz w:val="28"/>
          <w:szCs w:val="28"/>
        </w:rPr>
        <w:t>ТОО «</w:t>
      </w:r>
      <w:r w:rsidR="00C464E5">
        <w:rPr>
          <w:rFonts w:ascii="Times New Roman" w:eastAsia="Times New Roman" w:hAnsi="Times New Roman" w:cs="Times New Roman"/>
          <w:sz w:val="28"/>
          <w:szCs w:val="28"/>
        </w:rPr>
        <w:t xml:space="preserve">Ломбард </w:t>
      </w:r>
      <w:r w:rsidR="00655E12">
        <w:rPr>
          <w:rFonts w:ascii="Times New Roman" w:eastAsia="Times New Roman" w:hAnsi="Times New Roman" w:cs="Times New Roman"/>
          <w:sz w:val="28"/>
          <w:szCs w:val="28"/>
          <w:lang w:val="kk-KZ"/>
        </w:rPr>
        <w:t>Жулдыз-1</w:t>
      </w:r>
      <w:r w:rsidRPr="00342C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3959" w:rsidRPr="00342CC7" w:rsidRDefault="00A53959" w:rsidP="0060259E">
      <w:pPr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C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5E1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5E1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342C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CC7" w:rsidRPr="00342C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63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2C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CC7" w:rsidRPr="00342CC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342CC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53959" w:rsidRPr="0060259E" w:rsidRDefault="00A53959" w:rsidP="00A53959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A53959" w:rsidRPr="0060259E" w:rsidRDefault="00A53959" w:rsidP="00A539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959" w:rsidRPr="0060259E" w:rsidRDefault="00A53959" w:rsidP="00A53959">
      <w:pPr>
        <w:ind w:right="-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МИКРОКРЕДИТОВ</w:t>
      </w:r>
    </w:p>
    <w:p w:rsidR="00A53959" w:rsidRPr="0060259E" w:rsidRDefault="00A53959" w:rsidP="00A53959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 ЛОМБАРДЕ «</w:t>
      </w:r>
      <w:r w:rsidR="00655E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Жұлдыз-1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3959" w:rsidRPr="0060259E" w:rsidRDefault="00A53959" w:rsidP="00A53959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spacing w:line="237" w:lineRule="auto"/>
        <w:ind w:left="7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Правила предоставления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микрокредитов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(далее Правила) разработаны в соответствии с Гражданским кодексом Республики Казахстан, действующими нормативными правовыми актами Республики Казахстан, Уставом и внутренними актами и устанавливают порядок и условия предоставления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товариществом с ограниченной ответственностью «Ломбард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E12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="00655E12">
        <w:rPr>
          <w:rFonts w:ascii="Times New Roman" w:eastAsia="Times New Roman" w:hAnsi="Times New Roman" w:cs="Times New Roman"/>
          <w:sz w:val="28"/>
          <w:szCs w:val="28"/>
          <w:lang w:val="kk-KZ"/>
        </w:rPr>
        <w:t>ұлдыз-1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» (именуемым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Ломбард или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организация, осуществляющая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микрофинансовую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микрокредитов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физическим лицам (именуемым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далее –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>Заемщик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 под залог движимого имущества, предназначенного для личного пользования, на срок до одного года в размере, не превышающем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восьмитысячекратного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размера </w:t>
      </w:r>
      <w:hyperlink r:id="rId9" w:history="1">
        <w:r w:rsidRPr="0060259E">
          <w:rPr>
            <w:rFonts w:ascii="Times New Roman" w:eastAsia="Times New Roman" w:hAnsi="Times New Roman" w:cs="Times New Roman"/>
            <w:sz w:val="28"/>
            <w:szCs w:val="28"/>
          </w:rPr>
          <w:t xml:space="preserve">месячного расчетного показателя, 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>установленного на соответствующий финансовый год законом о республиканском бюджете.</w:t>
      </w:r>
    </w:p>
    <w:p w:rsidR="00A53959" w:rsidRPr="0060259E" w:rsidRDefault="00A53959" w:rsidP="00A53959">
      <w:pPr>
        <w:ind w:left="7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60259E">
      <w:pPr>
        <w:pStyle w:val="a3"/>
        <w:numPr>
          <w:ilvl w:val="0"/>
          <w:numId w:val="3"/>
        </w:numPr>
        <w:tabs>
          <w:tab w:val="left" w:pos="4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102C5" w:rsidRPr="0060259E" w:rsidRDefault="00A53959" w:rsidP="0060259E">
      <w:pPr>
        <w:pStyle w:val="a3"/>
        <w:numPr>
          <w:ilvl w:val="1"/>
          <w:numId w:val="3"/>
        </w:numPr>
        <w:tabs>
          <w:tab w:val="left" w:pos="499"/>
        </w:tabs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являются документом, регламентирующим: 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Порядок подачи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порядок его рассмотрения;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Порядок заключения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 Порядок заключения договора о залоге вещей в Ломбарде (залогового билета);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Предельные суммы и сроки предоставления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Предельные величины ставок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Порядок выплаты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предоставленным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Требования к принимаемому Ломбардом обеспечению;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Правила расчета годовой эффективной ставки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Методы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Правила;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разрешения споров;</w:t>
      </w:r>
    </w:p>
    <w:p w:rsidR="00E9195B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Прочие условия.</w:t>
      </w:r>
    </w:p>
    <w:p w:rsidR="002102C5" w:rsidRPr="0060259E" w:rsidRDefault="0059309E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Заявитель Ломбарда обязан </w:t>
      </w:r>
      <w:r w:rsidR="002102C5" w:rsidRPr="0060259E">
        <w:rPr>
          <w:rFonts w:ascii="Times New Roman" w:eastAsia="Times New Roman" w:hAnsi="Times New Roman" w:cs="Times New Roman"/>
          <w:sz w:val="28"/>
          <w:szCs w:val="28"/>
        </w:rPr>
        <w:t>ознакомиться с настоящими Правилами, которые размещаются в месте, доступном для обозрения</w:t>
      </w:r>
      <w:r w:rsidR="005F77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Заявление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может быть подано в Ломбард Заявителем,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удовлетворяющим всем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ниже перечисленным условиям:</w:t>
      </w:r>
    </w:p>
    <w:p w:rsidR="00126B32" w:rsidRPr="0060259E" w:rsidRDefault="00126B32" w:rsidP="00126B32">
      <w:pPr>
        <w:spacing w:line="5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9E" w:rsidRPr="0060259E" w:rsidRDefault="00126B32" w:rsidP="0060259E">
      <w:pPr>
        <w:pStyle w:val="a3"/>
        <w:numPr>
          <w:ilvl w:val="0"/>
          <w:numId w:val="11"/>
        </w:numPr>
        <w:tabs>
          <w:tab w:val="left" w:pos="727"/>
        </w:tabs>
        <w:spacing w:line="230" w:lineRule="auto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лицом, имеющим гражданство Республики Казахстан либо иностранным гражданином, постоянно проживающим в Республике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Казахстан (иностранный гражданин, имеющий вид на жительство со сроком действия не менее 1 (одного) года </w:t>
      </w:r>
      <w:proofErr w:type="gram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 даты обращения</w:t>
      </w:r>
      <w:proofErr w:type="gram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предоставлением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);</w:t>
      </w:r>
      <w:r w:rsid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\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лицом, не моложе 18 лет на момент подачи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126B32" w:rsidRPr="0060259E" w:rsidRDefault="00126B32" w:rsidP="0060259E">
      <w:pPr>
        <w:pStyle w:val="a3"/>
        <w:numPr>
          <w:ilvl w:val="0"/>
          <w:numId w:val="11"/>
        </w:numPr>
        <w:tabs>
          <w:tab w:val="left" w:pos="727"/>
        </w:tabs>
        <w:spacing w:line="230" w:lineRule="auto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лицом, не достигшим возраста 80 лет на момент подачи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B4353B" w:rsidRPr="0060259E" w:rsidRDefault="00B4353B" w:rsidP="00EA21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1E5" w:rsidRPr="0060259E" w:rsidRDefault="00EA21E5" w:rsidP="0060259E">
      <w:pPr>
        <w:numPr>
          <w:ilvl w:val="0"/>
          <w:numId w:val="3"/>
        </w:numPr>
        <w:tabs>
          <w:tab w:val="left" w:pos="136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подачи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порядок его рассмотрения</w:t>
      </w:r>
    </w:p>
    <w:p w:rsidR="00EA21E5" w:rsidRPr="0060259E" w:rsidRDefault="00EA21E5" w:rsidP="0060259E">
      <w:pPr>
        <w:pStyle w:val="a3"/>
        <w:numPr>
          <w:ilvl w:val="1"/>
          <w:numId w:val="3"/>
        </w:numPr>
        <w:spacing w:line="23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 Ломбард представитель Ломбарда проводит консультацию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предоставляя ему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полную и достоверную информацию об условиях микрокредитования, договоре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договоре о залоге вещей в Ломбарде, а именно:</w:t>
      </w:r>
    </w:p>
    <w:p w:rsidR="00EA21E5" w:rsidRPr="0060259E" w:rsidRDefault="00EA21E5" w:rsidP="00EA21E5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об условиях микрокредитования;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об условиях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договора о залоге вещей в Ломбарде (залогового билета);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 платежах, связанных с получением, обслуживанием и погашением (возвратом)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 порядке и условиях оплаты суммы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вознаграждения и неустойки;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 правах и обязанностях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Заявителя,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Заемщика, Залогодателя, Ломбарда;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об ответственности сторон за нарушение обязательств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договору о залоге вещей в Ломбарде;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 гарантировании тайны предоставления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 требованиях к обеспечению исполнения обязательств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предмету залога;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а также иные, в том числе интересующие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сведения о порядке и условиях микрокредитования.</w:t>
      </w:r>
    </w:p>
    <w:p w:rsidR="00EA21E5" w:rsidRPr="0060259E" w:rsidRDefault="00EA21E5" w:rsidP="00EA21E5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357A44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 осуществляет обязательное фиксирование перечня осуществленных вышеуказанных мероприятий, который приобщается к кредитному досье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предоставлением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гарантирует Ломбарду,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что он не лишен и не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ограничен в дееспособности, не состоит под опекой, попечительством и патронажем.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заинтересованности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условиям микрокредитования,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 Ломбарда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Заявителю перечень документов и информацию, необходимых для подачи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а также запрашивает информацию, необходимую для заполнения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Ломбарда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ознакамливает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Заявителя с формами согласий на предоставление,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получение информации по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Заявителю в кредитных бюро, в том числе в кредитном бюро с государственным участием – АО «Государственное кредитное бюро» (именуемом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ГКБ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), ТОО «Первое кредитное бюро» (именуемое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ТОО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«ПКБ»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), некоммерческом акционерном обществе «Государственная корпорация «Правительство для граждан» (именуемом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НАО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«ГК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«Правительство для граждан»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), на раскрытие и получение персональных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данных и сведений, определяющих доходы, согласий на предоставление информации о Заемщике в органы внутренних дел, согласие на выдачу кредитного отчета получателю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кредитного отчета и органам внутренних дел, а также при необходимости дополнительные документы,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внутренних требований Ломбарда.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ознакамливается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с информацией, содержащейся в указанных документах, и подписывает их.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</w:t>
      </w:r>
      <w:proofErr w:type="spellStart"/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09E"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 в Ломбард:</w:t>
      </w:r>
    </w:p>
    <w:p w:rsidR="00357A44" w:rsidRPr="0060259E" w:rsidRDefault="00357A44" w:rsidP="000B326E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309E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Клиента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удостоверение личности или паспорт (информацию о документе, удостоверяющем личность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Клиента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содержащую фамилию, имя, отчество (при его наличии), индивидуальный идентификационный номер, дату рождения, место рождения, номер документа, орган выдачи, дату выдачи и срок действия документа).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Иностранный гражданин, постоянно проживающий на территории Республики Казахстан предоставляет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вид на жительство иностранца;</w:t>
      </w:r>
    </w:p>
    <w:p w:rsidR="0059309E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наличии документы, подтверждающие право собственности на имущество (для имущества, право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по которому не подлежит регистрации);</w:t>
      </w:r>
    </w:p>
    <w:p w:rsidR="00357A44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другие документы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02F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сведения, не запрещающие </w:t>
      </w:r>
      <w:r w:rsidR="00126B32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нормами законов</w:t>
      </w:r>
      <w:r w:rsidR="00BA102F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Казахстан.</w:t>
      </w:r>
    </w:p>
    <w:p w:rsidR="00357A44" w:rsidRPr="0060259E" w:rsidRDefault="00357A44" w:rsidP="000B326E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Подписав заявление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Заявитель подтверждает,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что он ознакомлен и согласен с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настоящими Правилами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предоставляет Ломбарду свое согласие на сбор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обработку своих персональных данных, которые он свободно, самостоятельно и в своем интересе передает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 устной и письменной форме.</w:t>
      </w:r>
    </w:p>
    <w:p w:rsidR="00BA102F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 Ломбарда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о том,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что проверка заявления на предоставление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представленных Заявителем документов, не предполагает обязательного одобрения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что, решение о предоставлении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Ломбардом на основании результатов проверки и оценки представленных Заявителем сведений о его платежеспособности и кредитоспособности.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к рассмотрению,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возможные расходы Заявителя (на оформление необходимых документов для подачи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копии документов и т.п.) не влечет за собою обязательств Ломбарда заключить договор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предоставить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заключить договор о залоге вещей в Ломбарде (залоговый билет) или возместить понесенные Заявителем издержки.</w:t>
      </w:r>
      <w:proofErr w:type="gramEnd"/>
    </w:p>
    <w:p w:rsidR="00BA102F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Экспертиза заявлений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других документов осуществляется специалистами по оценке кредитоспособности.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подписанные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Заявителем, передаются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специалисту Ломбарда по оценке кредитоспособности (именуемому далее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>специалист по оценке кредитоспособности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) для проведения проверки. На основании данных о Заявителе системой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микрокредитного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скоринга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(запрос в АО «Государственное кредитное бюро» (ГКБ), ТОО «Первое кредитное бюро» (ПКБ), НАО «ГК «Правительство для граждан»)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оценка платежеспособности Заявителя, рассчитывается максимально возможная сумма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, срок погашения (срок возврата) </w:t>
      </w:r>
      <w:proofErr w:type="spellStart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. Представленные документы тщательно анализируются специалистами по оценке кредитоспособности.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проверки и анализа документов специалистами по оценке кредитоспособности одобрение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получают заявления с минимальным приемлемым риском невозврата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оставляет за собой право проверки любой информации,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сообщаемой Заявителем,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законодательством.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Ломбарда производит осмотр предмета залога, который Заявитель намерен представить в качестве обеспечения исполнения обязательств по микрокредитовани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специалистов по оценке кредитоспособности по результатам проверки представленных документов: об удовлетворении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либо об отказе в удовлетворении данного заявления, передаются специалистами по оценке кредитоспособности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 устной либо письменной форме.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Специалисты по оценке кредитоспособности в течение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разумного срока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заявления на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необходимых документов принимают решение об удовлетворении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либо об отказе в удовлетворении данного заявления</w:t>
      </w:r>
      <w:r w:rsidR="00BA102F" w:rsidRPr="0060259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случае одобрения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сообщает Заявителю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установленную сумму и срок погашения (срок возврата)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которые могут не совпадать с запрошенными Заявителем суммой и сроком.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При согласии Заявителя с условиями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Заявитель обязан представить дополнительные документы и предмет залога, для заключения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договора о залоге вещей в Ломбарде (залогового билета).</w:t>
      </w:r>
    </w:p>
    <w:p w:rsidR="00FA261D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Действия представителя Ломбарда по осмотру, оценке предмета залога и консультациям Залогодателя не являются основанием для требования Залогодателя заключить договор о залоге вещей в Ломбарде (залоговый билет) и выдать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рд впр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аве отказать в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любого из следующих оснований:</w:t>
      </w:r>
    </w:p>
    <w:p w:rsidR="00357A44" w:rsidRPr="0060259E" w:rsidRDefault="00357A44" w:rsidP="000B326E">
      <w:pPr>
        <w:spacing w:line="2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Заявитель не соответствует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>предъявляемым требованиям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Заявителем не представлены необходимые документы, указанные в настоящих Правилах;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предмет залога не соответствует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предъявляемым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требованиям;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получение Ломбардом сведений об отрицательной кредитной истории у Заявителя;</w:t>
      </w:r>
    </w:p>
    <w:p w:rsidR="000B326E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Законом Республики Казахстан «О противодействии легализации (отмыванию) доходов, полученных преступным путем, и финансированию терроризма»</w:t>
      </w:r>
      <w:r w:rsidR="000B326E"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лицо, не является гражданином Республики Казахстан либо иностранным гражданином, постоянно проживающим в Республике Казахстан (иностранный гражданин, имеющий вид на жительство со сроком действия не менее 1 (одного) года </w:t>
      </w:r>
      <w:proofErr w:type="gram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 даты обращения</w:t>
      </w:r>
      <w:proofErr w:type="gram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предоставлением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);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 моложе 18 лет на момент подачи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лицо, достигло возраста 80 лет на момент подачи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лицом представлена недостоверная или неполная информация в заявлении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, не представлены или представлены не в полном объеме необходимые документы</w:t>
      </w:r>
      <w:r w:rsidR="000B326E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в отношении лица получена негативная информация о репутации и его финансовом состоянии;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 имеет задолженность по </w:t>
      </w:r>
      <w:proofErr w:type="gram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предоставленному</w:t>
      </w:r>
      <w:proofErr w:type="gram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ранее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 находится в алкогольном или наркотическом опьянении при подаче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 имеет непогашенную судимость;</w:t>
      </w:r>
    </w:p>
    <w:p w:rsidR="00126B32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отношении лица имеются исковые заявления, поданные третьими лицами в суд, на дату подачи Заявителем заявления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="000B326E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0" w:name="page18"/>
      <w:bookmarkEnd w:id="0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обращении в Ломбард с заявлением на предоставление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Заявитель одновременно представляет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следующие документы:</w:t>
      </w:r>
    </w:p>
    <w:p w:rsidR="00126B32" w:rsidRPr="0060259E" w:rsidRDefault="00126B32" w:rsidP="000B326E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удостоверение личности либо вид на жительство иностранного гражданина;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письменное согласие Заявителя на предоставление информации о нем в кредитные бюро (за исключением кредитного бюро с государственным участием) и (или) на выдачу кредитного отчета из кредитного бюро;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письменное согласие на предоставление информации о Заявителе в органы внутренних дел, согласие на выдачу кредитного отчета получателю кредитного отчета и органам внутренних дел;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письменное согласие Заявителя на получение Ломбардом информации о нем в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НАО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«ГК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«Правительство для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граждан»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согласие на раскрытие и получение персональных данных и сведений,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определяющих доходы;</w:t>
      </w:r>
    </w:p>
    <w:p w:rsidR="000B326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письменное согласие на сбор и обработку персональных данных.</w:t>
      </w:r>
    </w:p>
    <w:p w:rsidR="00126B32" w:rsidRPr="0060259E" w:rsidRDefault="00126B32" w:rsidP="000B326E">
      <w:p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Ломбард по своему усмотрению может запросить предоставления дополнительных документов.</w:t>
      </w:r>
    </w:p>
    <w:p w:rsidR="00FA261D" w:rsidRPr="0060259E" w:rsidRDefault="00FA261D" w:rsidP="00FA261D">
      <w:pPr>
        <w:pStyle w:val="a3"/>
        <w:tabs>
          <w:tab w:val="left" w:pos="107"/>
        </w:tabs>
        <w:spacing w:line="0" w:lineRule="atLeast"/>
        <w:ind w:left="8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61D" w:rsidRPr="0060259E" w:rsidRDefault="00FA261D" w:rsidP="0060259E">
      <w:pPr>
        <w:pStyle w:val="a3"/>
        <w:numPr>
          <w:ilvl w:val="0"/>
          <w:numId w:val="3"/>
        </w:numPr>
        <w:tabs>
          <w:tab w:val="left" w:pos="25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заключения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FA261D" w:rsidRPr="0060259E" w:rsidRDefault="00FA261D" w:rsidP="00FA261D">
      <w:pPr>
        <w:tabs>
          <w:tab w:val="left" w:pos="25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Порядок заключения договора о залоге вещей в Ломбарде (залогового билета)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Порядок заключения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том числе требования к содержанию,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оформлению, обязательным условиям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форма графика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с учетом требований, установленных гражданским законодательством Республики Казахстан, утверждается нормативным правовым актом уполномоченного органа – постановлением Правления Национального Банка Республики Казахстан «Об утверждении Порядка заключения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в том числе требований к содержанию, оформлению, обязательным условиям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формы графика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 настоящими Правилами.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заключения договора о залоге вещей в Ломбарде (залогового билета) утверждается настоящими Правилами в соответствии со ст. 328 Гражданского кодекса Республики Казахстан.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После принятия специалистом по оценке кредитоспособности решения об удовлетворении заявления на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озвучивания представителем решения Заявителю/Заемщику об удовлетворении заявления, менеджер Ломбарда готовит договор о</w:t>
      </w:r>
      <w:bookmarkStart w:id="1" w:name="page8"/>
      <w:bookmarkEnd w:id="1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графиком погашения и договор о залоге вещей в Ломбарде (залоговый билет) в соответствии с законодательством Республики Казахстан и настоящими Правилами.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Договор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договор о залоге вещей в Ломбарде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(залоговый билет)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заключаются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D025E4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Заявитель/Заемщик знакомится с текстом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договора о залоге вещей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Ломбарде (залоговым билетом). После ознакомления Заявителя/Заемщика с текстом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залогового билета Заявитель/Заемщик собственноручно подписывает договор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залоговый билет либо другим допустимым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противоречащим действующему законодательству. От имени Ломбарда все документы подписываются директором Ломбарда, либо менеджером, уполномоченным на подписание документов доверенностью, и скрепляются печатью Ломбарда.</w:t>
      </w:r>
      <w:r w:rsidR="00D025E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вручает Заемщику по одному экземпляру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договора о залоге вещей в Ломбарде (залогового билета).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заключенному между Ломбардом и Заемщиком,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передается в кредитные бюро, в том числе в кредитное бюро с государственным участием, на условиях, определенных законом Республики Казахстан «О кредитных бюро и формировании кредитных историй в Республике Казахстан».</w:t>
      </w:r>
    </w:p>
    <w:p w:rsidR="00EB6313" w:rsidRPr="0060259E" w:rsidRDefault="00EB6313" w:rsidP="00EB6313">
      <w:pPr>
        <w:pStyle w:val="a3"/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60259E">
      <w:pPr>
        <w:pStyle w:val="a3"/>
        <w:numPr>
          <w:ilvl w:val="0"/>
          <w:numId w:val="3"/>
        </w:numPr>
        <w:tabs>
          <w:tab w:val="left" w:pos="250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Предельные суммы и сроки предоставления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</w:t>
      </w:r>
      <w:proofErr w:type="spellEnd"/>
    </w:p>
    <w:p w:rsidR="00996C97" w:rsidRPr="0060259E" w:rsidRDefault="00EB6313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(указанный в пункте 3-1 статьи 4 Закона РК от 26.11.2012 г. № 56-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деятельности»)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заключенный с физическим лицом на срок до 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дней, в размере, не превышающем 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>50 МРП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установленного на соответствующий финансовый год законом о республиканском бюджете, при соответствии договора следующим условиям: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вознаграждение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предельное значение, установленное нормативным правовым актом уполномоченного органа. Предельное значение вознаграждения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заключенному с физическим лицом, установлено в размере 30 (тридцать) процентов от суммы выданного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размер неустойки (штрафа, пени) за нарушение обязательства по возврату суммы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(или) уплате вознаграждения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может превышать 0,5 процента от суммы неисполненного обязательства за каждый день просрочки;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все платежи заемщика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включая сумму вознаграждения и неустойки (штрафа, пени),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договором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предмета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в совокупности не могут превышать сумму выданного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 весь период действия договора о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договор содержит запрет на увеличение суммы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313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 сторон возможно увеличение срока действия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на действующих или улучшающих условиях.</w:t>
      </w:r>
    </w:p>
    <w:p w:rsidR="00EB6313" w:rsidRPr="0060259E" w:rsidRDefault="00EB6313" w:rsidP="00D25A6F">
      <w:pPr>
        <w:spacing w:line="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D25A6F">
      <w:pPr>
        <w:spacing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A6F" w:rsidRPr="0060259E" w:rsidRDefault="00EB6313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Договор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(за исключением договора, указанного в пункте 3-1 </w:t>
      </w:r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</w:rPr>
        <w:t>статьи 4 Закона РК от 26.11.2012 г. № 56-</w:t>
      </w:r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proofErr w:type="spellStart"/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="00996C97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деятельности»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заключенный с физическим лицом на срок до одного года,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размере, не превышающем 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>8 000 МРП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установленного на соответствующий финансовый год законом о республиканском бюджете,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размер годовой эффективной ставки вознаграждения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предельный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размер, определенный нормативным правовым актом уполномоченного органа. Предельный размер годовой эф</w:t>
      </w:r>
      <w:r w:rsidR="008E30C5" w:rsidRPr="0060259E">
        <w:rPr>
          <w:rFonts w:ascii="Times New Roman" w:eastAsia="Times New Roman" w:hAnsi="Times New Roman" w:cs="Times New Roman"/>
          <w:sz w:val="28"/>
          <w:szCs w:val="28"/>
        </w:rPr>
        <w:t xml:space="preserve">фективной ставки вознаграждения –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56 (пятьдесят шесть) процентов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0C5" w:rsidRPr="0060259E" w:rsidRDefault="00EB6313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 предоставляет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микрокредиты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 пределах размеров и сроков,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Республики Казахстан, на одного Заемщика.</w:t>
      </w:r>
    </w:p>
    <w:p w:rsidR="008E30C5" w:rsidRPr="0060259E" w:rsidRDefault="008E30C5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Предельные суммы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 xml:space="preserve"> устанавливается индивидуально для каждого Заемщика:</w:t>
      </w:r>
    </w:p>
    <w:p w:rsidR="008E30C5" w:rsidRPr="0060259E" w:rsidRDefault="008E30C5" w:rsidP="0060259E">
      <w:pPr>
        <w:pStyle w:val="a3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минимальная сумма </w:t>
      </w:r>
      <w:proofErr w:type="spellStart"/>
      <w:r w:rsidRPr="0060259E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 xml:space="preserve"> – </w:t>
      </w:r>
      <w:r w:rsidR="005F7743">
        <w:rPr>
          <w:rFonts w:ascii="Times New Roman" w:hAnsi="Times New Roman" w:cs="Times New Roman"/>
          <w:sz w:val="28"/>
          <w:szCs w:val="28"/>
        </w:rPr>
        <w:t>10 000 (Десять тысяч)</w:t>
      </w:r>
      <w:r w:rsidRPr="0060259E">
        <w:rPr>
          <w:rFonts w:ascii="Times New Roman" w:hAnsi="Times New Roman" w:cs="Times New Roman"/>
          <w:sz w:val="28"/>
          <w:szCs w:val="28"/>
        </w:rPr>
        <w:t xml:space="preserve"> тенге. </w:t>
      </w:r>
    </w:p>
    <w:p w:rsidR="008E30C5" w:rsidRPr="0060259E" w:rsidRDefault="008E30C5" w:rsidP="0060259E">
      <w:pPr>
        <w:pStyle w:val="a3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максимальная сумма </w:t>
      </w:r>
      <w:proofErr w:type="spellStart"/>
      <w:r w:rsidRPr="0060259E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 xml:space="preserve"> не более 50 МРП/ 8 000 МРП, </w:t>
      </w:r>
      <w:proofErr w:type="gramStart"/>
      <w:r w:rsidRPr="0060259E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60259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законом о республиканском бюджете.</w:t>
      </w:r>
    </w:p>
    <w:p w:rsidR="008E30C5" w:rsidRPr="0060259E" w:rsidRDefault="008E30C5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Предельные сроки предоставления </w:t>
      </w:r>
      <w:proofErr w:type="spellStart"/>
      <w:r w:rsidRPr="0060259E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 xml:space="preserve"> составляют: </w:t>
      </w:r>
    </w:p>
    <w:p w:rsidR="008E30C5" w:rsidRPr="0060259E" w:rsidRDefault="008E30C5" w:rsidP="0060259E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минимальный срок </w:t>
      </w:r>
      <w:proofErr w:type="spellStart"/>
      <w:r w:rsidRPr="0060259E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 xml:space="preserve"> – </w:t>
      </w:r>
      <w:r w:rsidR="00A51117">
        <w:rPr>
          <w:rFonts w:ascii="Times New Roman" w:hAnsi="Times New Roman" w:cs="Times New Roman"/>
          <w:sz w:val="28"/>
          <w:szCs w:val="28"/>
        </w:rPr>
        <w:t>1</w:t>
      </w:r>
      <w:r w:rsidRPr="0060259E">
        <w:rPr>
          <w:rFonts w:ascii="Times New Roman" w:hAnsi="Times New Roman" w:cs="Times New Roman"/>
          <w:sz w:val="28"/>
          <w:szCs w:val="28"/>
        </w:rPr>
        <w:t xml:space="preserve"> календар</w:t>
      </w:r>
      <w:r w:rsidR="00A51117">
        <w:rPr>
          <w:rFonts w:ascii="Times New Roman" w:hAnsi="Times New Roman" w:cs="Times New Roman"/>
          <w:sz w:val="28"/>
          <w:szCs w:val="28"/>
        </w:rPr>
        <w:t>ный</w:t>
      </w:r>
      <w:r w:rsidRPr="0060259E">
        <w:rPr>
          <w:rFonts w:ascii="Times New Roman" w:hAnsi="Times New Roman" w:cs="Times New Roman"/>
          <w:sz w:val="28"/>
          <w:szCs w:val="28"/>
        </w:rPr>
        <w:t xml:space="preserve"> д</w:t>
      </w:r>
      <w:r w:rsidR="00A51117">
        <w:rPr>
          <w:rFonts w:ascii="Times New Roman" w:hAnsi="Times New Roman" w:cs="Times New Roman"/>
          <w:sz w:val="28"/>
          <w:szCs w:val="28"/>
        </w:rPr>
        <w:t>ень</w:t>
      </w:r>
      <w:r w:rsidRPr="0060259E">
        <w:rPr>
          <w:rFonts w:ascii="Times New Roman" w:hAnsi="Times New Roman" w:cs="Times New Roman"/>
          <w:sz w:val="28"/>
          <w:szCs w:val="28"/>
        </w:rPr>
        <w:t>;</w:t>
      </w:r>
    </w:p>
    <w:p w:rsidR="00D25A6F" w:rsidRPr="0060259E" w:rsidRDefault="008E30C5" w:rsidP="0060259E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proofErr w:type="spellStart"/>
      <w:r w:rsidRPr="0060259E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45 (сорока пяти) </w:t>
      </w:r>
      <w:r w:rsidRPr="0060259E">
        <w:rPr>
          <w:rFonts w:ascii="Times New Roman" w:hAnsi="Times New Roman" w:cs="Times New Roman"/>
          <w:sz w:val="28"/>
          <w:szCs w:val="28"/>
        </w:rPr>
        <w:t>календарных дней/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1 (одного) года.</w:t>
      </w:r>
    </w:p>
    <w:p w:rsidR="00EE01A8" w:rsidRPr="0060259E" w:rsidRDefault="00EE01A8" w:rsidP="00EE01A8">
      <w:pPr>
        <w:pStyle w:val="a3"/>
        <w:spacing w:line="0" w:lineRule="atLeast"/>
        <w:ind w:left="1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1A8" w:rsidRPr="0060259E" w:rsidRDefault="00EE01A8" w:rsidP="0060259E">
      <w:pPr>
        <w:pStyle w:val="a3"/>
        <w:numPr>
          <w:ilvl w:val="0"/>
          <w:numId w:val="3"/>
        </w:numPr>
        <w:tabs>
          <w:tab w:val="left" w:pos="9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Предельные величины ставок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микрокредитам</w:t>
      </w:r>
      <w:proofErr w:type="spellEnd"/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Предельные величины ставок вознаграждения по микрокредитованию устанавливается Ломбардом на основании норм законодательства Республики Казахстан.</w:t>
      </w:r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Для каждого случая микрокредитования Ломбардом устанавливается ставки вознаграждения в зависимости от срока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размера суммы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оценки предоставленного предмета залога.</w:t>
      </w:r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Предельная   ставка   вознаграждения   по   договору   о   предоставлении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физическому лицу на срок до 45 календарных дней, в размере, не превышающем 50 МРП, установленного на соответствующий финансовый год законом о республиканском бюджете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Pr="0060259E">
        <w:rPr>
          <w:rFonts w:ascii="Times New Roman" w:hAnsi="Times New Roman" w:cs="Times New Roman"/>
          <w:sz w:val="28"/>
          <w:szCs w:val="28"/>
        </w:rPr>
        <w:t xml:space="preserve">устанавливается в размере 30 % от суммы выданного </w:t>
      </w:r>
      <w:proofErr w:type="spellStart"/>
      <w:r w:rsidRPr="0060259E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>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Размер предельной годовой эффективной ставки вознаграждения по предоставляемым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превышает 56 (пятьдесят шесть) процентов годовых и не применяется к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указанному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 пункте 3-1 статьи 4 Закона РК от 26.11.2012 г. № 56-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D98" w:rsidRPr="0060259E" w:rsidRDefault="00F31D98" w:rsidP="0060259E">
      <w:pPr>
        <w:pStyle w:val="a3"/>
        <w:numPr>
          <w:ilvl w:val="0"/>
          <w:numId w:val="3"/>
        </w:numPr>
        <w:tabs>
          <w:tab w:val="left" w:pos="18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выплаты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предоставленным</w:t>
      </w:r>
      <w:proofErr w:type="gram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микрокредитам</w:t>
      </w:r>
      <w:proofErr w:type="spellEnd"/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представленным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Заемщик выплачивает Ломбарду вознаграждение.</w:t>
      </w:r>
      <w:proofErr w:type="gram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вознаграждения </w:t>
      </w:r>
      <w:r w:rsidRPr="0060259E">
        <w:rPr>
          <w:rFonts w:ascii="Times New Roman" w:hAnsi="Times New Roman" w:cs="Times New Roman"/>
          <w:sz w:val="28"/>
          <w:szCs w:val="28"/>
        </w:rPr>
        <w:t>устанавливается индивидуально для каждого Заемщика.</w:t>
      </w:r>
      <w:bookmarkStart w:id="2" w:name="page10"/>
      <w:bookmarkEnd w:id="2"/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Заемщик обязуется вернуть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уплатить вознаграждение Ломбарду,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срок,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указанный в договоре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наличным способом – путем внесения денег в кассу Ломбарда в отделениях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Ломбарда либо безналичным способом – путем зачисления денег на банковский счет Ломбарда, указанный в договоре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. Возможные расходы за осуществление безналичных платежей (например, банковские комиссии), платежей посредством электронных терминалов третьих лиц Заемщик несет самостоятельно. Сумма производимого Заемщиком платежа в таких случаях должна определяться им самостоятельно с учетом оплаты указанных расходов сверх суммы погашаемой задолженности перед Ломбардом. В целях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избежания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задержки платежа Заемщику рекомендуется перечислять денежные средства в счет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уплаты вознаграждения за пользование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Выплата вознаграждения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согласно условиям договора и графику погашения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являющемуся неотъемлемой частью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Начисление вознаграждения прекращается со дня,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следующего за днем,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котором Заемщиком полностью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исполнено обязательство по возврату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вознаграждения, неустойки (при наличии задолженности), а также по возврату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начисленного вознаграждения досрочно.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Поступающие от Заемщика денежные средства направляются на исполнение его обязательств перед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Ломбардом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очередности установленной договором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заявлению Заемщика срок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предусмотренный договором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на усмотрение Ломбарда может быть пролонгирован на действующих или улучшающих условиях. При пролонгации срока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представленного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начисляется вознаграждение, рассчитанное по условиям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Срок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по возврату суммы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уплате вознаграждения может быть пролонгирован по соглашению сторон на условиях, указанных в договоре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1D" w:rsidRPr="0060259E" w:rsidRDefault="0029231D" w:rsidP="002923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EB6313">
      <w:pPr>
        <w:spacing w:line="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231D" w:rsidRPr="0060259E" w:rsidRDefault="0029231D" w:rsidP="0060259E">
      <w:pPr>
        <w:pStyle w:val="a3"/>
        <w:numPr>
          <w:ilvl w:val="0"/>
          <w:numId w:val="3"/>
        </w:numPr>
        <w:tabs>
          <w:tab w:val="left" w:pos="27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принимаемому Ломбардом обеспечению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обеспечение исполнения обязательств Заемщика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Заемщик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(Залогодатель) предоставляет в </w:t>
      </w:r>
      <w:proofErr w:type="gramStart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залог Ломбарду</w:t>
      </w:r>
      <w:proofErr w:type="gramEnd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(Залогодержателю) движимое имущество, предназначенное для личного пользования, принадлежащее ему на праве собственности.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Право залога возникает у Ломбарда на основании договора о залоге вещей в Ломбарде, оформляемого выдачей Ломбардом залогового билета, и предоставляет Ломбарду право на получение компенсации из стоимости заложенного имущества в случае нарушения обязательств Заемщиком.</w:t>
      </w:r>
    </w:p>
    <w:p w:rsidR="0039585C" w:rsidRPr="0060259E" w:rsidRDefault="0039585C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>качестве предмета залога Ломбард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ювелирные изделия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>материально устаревшие изделия и изделия сомнительного качества. Ювелирные изделия не должны быть обременены правами третьих лиц.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>Не допускается принятие Ломбардом в качестве предмета залога цельных и комплектных ювелирных изделий, содержащих драгоценные металлы и драгоценные камни, как лом ювелирных изделий.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оценке предмета залога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специалист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учитывает качественные и количественные характеристики залогового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имущества, его ликвидность.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Ювелирное изделие в обязательном порядке апробируется химическими реактивами для проверки его качества и подлинности.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Оценка предоставляемого в залог ювелирного изделия производится, согласно утвержденным в Ломбарде ставкам по оценке ювелирных изделий, предоставляемых в залог.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Оценка предоставляемых в залог ювелирных изделий,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содержащих драгоценные камни –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бриллианты, производится по ставке за грамм соответствующей пробы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39585C" w:rsidRPr="0060259E" w:rsidRDefault="0039585C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r w:rsidR="0029231D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случае отказа Залогодателя от апробирования или проверки химическими реактивами ювелирных изделий или лома ювелирных изделий, предоставляемых в качестве залога, данные изделия Ломбардом не принимаются.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залоговом билете содержится описание ювелирных золотых изделий,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включающее в себя: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ювелирного изделия с указанием индивидуальных идентификационных признаков и степени сохранности изделия с указанием имеющихся дефектов, пробы, веса изделия, его размеров (при необходимости), сумма оценки и иные условия.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оценке предмета залога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представитель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Ломбарда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учитывает качественные и количественные характеристики залогового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имущества, его ликвидность. Оценка предоставляемого в залог предмета залога производится менеджером, согласно утвержденным в Ломбарде ставкам по оценке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, предоставляемой в залог.</w:t>
      </w:r>
    </w:p>
    <w:p w:rsidR="004042A5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залоговом билете содержится описание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включающее в себя: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наименование с указанием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идентификационных признаков, степени сохранности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имеющихся дефектов, сумма оценки и иные условия.</w:t>
      </w:r>
    </w:p>
    <w:p w:rsidR="004042A5" w:rsidRPr="0060259E" w:rsidRDefault="004042A5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 осуществляет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хранения представленного в залог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имущества.</w:t>
      </w:r>
    </w:p>
    <w:p w:rsidR="0029231D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На усмотрение Ломбарда местом хранения залога – ювелирного изделия, представленного в качестве обеспечения обязательств по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может являться адрес регистрации Заемщика/Залогодателя, указанный в залоговом билете. В этом случае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залогом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билете указывается место</w:t>
      </w:r>
      <w:r w:rsidR="004042A5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хранения залога, а также условия о том, что предмет залога находится во владении и пользовании Заемщика/Залогодателя, и Заемщик/Залогодатель несет ответственность за сохранность предмета залога.</w:t>
      </w:r>
    </w:p>
    <w:p w:rsidR="00B4353B" w:rsidRPr="0060259E" w:rsidRDefault="00B4353B" w:rsidP="00B4353B">
      <w:p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4353B" w:rsidRPr="0060259E" w:rsidRDefault="00B4353B" w:rsidP="0060259E">
      <w:pPr>
        <w:pStyle w:val="a3"/>
        <w:numPr>
          <w:ilvl w:val="0"/>
          <w:numId w:val="3"/>
        </w:num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расчета годовой эффективной ставки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микрокредитам</w:t>
      </w:r>
      <w:proofErr w:type="spellEnd"/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Годовой эффективной ставкой вознаграждения является ставка вознаграждения в достоверном,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годовом,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эффективном, сопоставимом исчислении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рассчитываемая в соответствии с Правилами расчета годовой эффективной ставки вознаграждения по предоставляемым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утвержденными постановлением Правления Национального Банка Республики Казахстан.</w:t>
      </w:r>
      <w:bookmarkStart w:id="3" w:name="page13"/>
      <w:bookmarkEnd w:id="3"/>
      <w:proofErr w:type="gramEnd"/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Размер годовой эффективной ставки вознаграждения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предельный размер,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</w:t>
      </w:r>
      <w:hyperlink r:id="rId10" w:history="1">
        <w:r w:rsidRPr="0060259E">
          <w:rPr>
            <w:rFonts w:ascii="Times New Roman" w:eastAsia="Times New Roman" w:hAnsi="Times New Roman" w:cs="Times New Roman"/>
            <w:sz w:val="28"/>
            <w:szCs w:val="28"/>
          </w:rPr>
          <w:t xml:space="preserve">нормативным правовым актом 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органа. Данные требования не применяются в отношении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указанного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 пункте 3-1 статьи 4 Закона РК от 26.11.2012 г. № 56-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производит расчет годовой эффективной ставки вознаграждения:</w:t>
      </w:r>
    </w:p>
    <w:p w:rsidR="00B4353B" w:rsidRPr="0060259E" w:rsidRDefault="00B4353B" w:rsidP="00126B32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09" w:hanging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на дату заключения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дополнительных соглашений к договору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09" w:hanging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 устному или письменному требованию Заемщика;</w:t>
      </w: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и дополнений в договор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которые влекут изменение суммы (размера) денежных обязательств Заемщика и (или) срока их уплаты.</w:t>
      </w:r>
    </w:p>
    <w:p w:rsidR="00126B32" w:rsidRPr="0060259E" w:rsidRDefault="00B4353B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условий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влекущих изменение суммы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(размера)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на дату</w:t>
      </w:r>
      <w:r w:rsidR="00126B32" w:rsidRPr="006025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которой изменяются условия, без учета платежей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произведенных Заемщиком с начала срока действия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Годовая эффективная ставка вознаграждения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предоставляемым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микрокредитам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следующей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B4353B" w:rsidRPr="0060259E" w:rsidRDefault="00B4353B" w:rsidP="00126B32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168910</wp:posOffset>
            </wp:positionV>
            <wp:extent cx="2955290" cy="6705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3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B4353B" w:rsidRPr="0060259E" w:rsidRDefault="000B326E" w:rsidP="000B326E">
      <w:pPr>
        <w:spacing w:line="237" w:lineRule="auto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n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последней выплаты Заемщику;</w:t>
      </w:r>
    </w:p>
    <w:p w:rsidR="00B4353B" w:rsidRPr="0060259E" w:rsidRDefault="00B4353B" w:rsidP="00126B32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j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выплаты Заемщику;</w:t>
      </w: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Sj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сумма j-той выплаты Заемщику;</w:t>
      </w:r>
    </w:p>
    <w:p w:rsidR="00B4353B" w:rsidRPr="0060259E" w:rsidRDefault="00B4353B" w:rsidP="00126B32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APR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годовая эффективная ставка вознаграждения; 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Tj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со дня предоставления </w:t>
      </w:r>
      <w:proofErr w:type="spellStart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 до момента j-той выплаты Заемщику (в днях); 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m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последнего платежа Заемщика;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</w:t>
      </w:r>
      <w:proofErr w:type="gramEnd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номер платежа заемщика;</w:t>
      </w:r>
    </w:p>
    <w:p w:rsidR="00B4353B" w:rsidRPr="0060259E" w:rsidRDefault="000B326E" w:rsidP="000B326E">
      <w:pPr>
        <w:spacing w:line="236" w:lineRule="auto"/>
        <w:ind w:left="707" w:right="6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59E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60259E">
        <w:rPr>
          <w:rFonts w:ascii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gramStart"/>
      <w:r w:rsidR="00B4353B" w:rsidRPr="0060259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B4353B" w:rsidRPr="0060259E">
        <w:rPr>
          <w:rFonts w:ascii="Times New Roman" w:hAnsi="Times New Roman" w:cs="Times New Roman"/>
          <w:sz w:val="28"/>
          <w:szCs w:val="28"/>
        </w:rPr>
        <w:t>того платежа Заемщика;</w:t>
      </w:r>
    </w:p>
    <w:p w:rsidR="00B4353B" w:rsidRPr="0060259E" w:rsidRDefault="00B4353B" w:rsidP="00126B32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со дня предоставления </w:t>
      </w:r>
      <w:proofErr w:type="spellStart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 до момента </w:t>
      </w:r>
      <w:proofErr w:type="gramStart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того платежа Заемщика (в днях).</w:t>
      </w:r>
    </w:p>
    <w:p w:rsidR="00B4353B" w:rsidRPr="0060259E" w:rsidRDefault="00B4353B" w:rsidP="00126B32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расчет годовой эффективной ставки вознаграждения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все платежи Заемщика,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исключением платежей (неустойки, пени, штрафа) Заемщика, возникших в связи с несоблюдением им условий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по уплате основного долга и (или) вознаграждения.</w:t>
      </w:r>
    </w:p>
    <w:p w:rsidR="00126B32" w:rsidRPr="0060259E" w:rsidRDefault="00126B32" w:rsidP="00126B32">
      <w:pPr>
        <w:pStyle w:val="a3"/>
        <w:spacing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0"/>
          <w:numId w:val="3"/>
        </w:num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погашения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микрокредита</w:t>
      </w:r>
      <w:proofErr w:type="spellEnd"/>
    </w:p>
    <w:p w:rsidR="00126B32" w:rsidRPr="0060259E" w:rsidRDefault="00126B32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 использует при расчетах графиков погашений следующие методы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6B32" w:rsidRPr="0060259E" w:rsidRDefault="00126B32" w:rsidP="00126B32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метод дифференцированных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котором погашение задолженности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осуществляется уменьшающимися платежами, включающими равные суммы платежей по основному долгу и начисленное за период на остаток основного долга вознаграждение;</w:t>
      </w:r>
    </w:p>
    <w:p w:rsidR="00126B32" w:rsidRPr="0060259E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 </w:t>
      </w:r>
      <w:proofErr w:type="spellStart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аннуитетных</w:t>
      </w:r>
      <w:proofErr w:type="spellEnd"/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котором погашение задолженности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равными платежами на протяжении всего срока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 включающими увеличивающиеся платежи по основному долгу и уменьшающиеся платежи по вознаграждению, начисленному за период на остаток основного долга. Размеры первого и последнего платежей могут отличаться от других.</w:t>
      </w:r>
    </w:p>
    <w:p w:rsidR="00126B32" w:rsidRPr="0060259E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метод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котором погашение задолженности по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включающей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себя полную сумму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вознаграждения, осуществляется одним единовременным платежом в срок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B32" w:rsidRPr="0060259E" w:rsidRDefault="00126B32" w:rsidP="00126B32">
      <w:pPr>
        <w:spacing w:line="3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погашения основного долга по </w:t>
      </w:r>
      <w:proofErr w:type="gramStart"/>
      <w:r w:rsidRPr="0060259E">
        <w:rPr>
          <w:rFonts w:ascii="Times New Roman" w:eastAsia="Times New Roman" w:hAnsi="Times New Roman" w:cs="Times New Roman"/>
          <w:sz w:val="28"/>
          <w:szCs w:val="28"/>
        </w:rPr>
        <w:t>отдельному</w:t>
      </w:r>
      <w:proofErr w:type="gram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микрокредиту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а также метод погашения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 графике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являющемся неотъемлемой частью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59E" w:rsidRPr="0060259E" w:rsidRDefault="0060259E" w:rsidP="0060259E">
      <w:pPr>
        <w:pStyle w:val="a3"/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9E" w:rsidRPr="0060259E" w:rsidRDefault="0060259E" w:rsidP="0060259E">
      <w:pPr>
        <w:pStyle w:val="a3"/>
        <w:numPr>
          <w:ilvl w:val="0"/>
          <w:numId w:val="3"/>
        </w:numPr>
        <w:spacing w:line="23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Внесение изменений и дополнений в Правила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имеет право в одностороннем порядке вносить изменения и дополнения в настоящие Правила,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исключением случаев, предусмотренных настоящими Правилами.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не вправе в односторонне порядке изменять ставки вознаграждения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(за исключением случаев их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снижения), и (или) способ и метод погашения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При внесении изменений и дополнений в настоящие Правила Ломбард с целью ознакомления Заявителей, Заемщиков с условиями (изменениями) Правил размещает Правила в отделениях Ломбарда, осуществляющих обслуживание Заявителей, Заемщиков.</w:t>
      </w:r>
    </w:p>
    <w:p w:rsid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С момента размещения Правил в отделениях Ломбарда,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63E6">
        <w:rPr>
          <w:rFonts w:ascii="Times New Roman" w:eastAsia="Times New Roman" w:hAnsi="Times New Roman" w:cs="Times New Roman"/>
          <w:sz w:val="28"/>
          <w:szCs w:val="28"/>
        </w:rPr>
        <w:t>любые изменения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дополнения, внесенные в Правила, распространяются на всех лиц, с которыми заключены договора о предоставлении </w:t>
      </w:r>
      <w:proofErr w:type="spellStart"/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договора о залоге вещей в Ломбарде (залоговые билеты). Заемщики обязаны отслеживать изменения и дополнения, вносимые в настоящие Правила, и размещенные в отделениях Ломбарда.</w:t>
      </w:r>
    </w:p>
    <w:p w:rsidR="00AF63E6" w:rsidRDefault="00AF63E6" w:rsidP="00AF63E6">
      <w:p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3E6" w:rsidRDefault="00AF63E6" w:rsidP="00AF63E6">
      <w:p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3E6" w:rsidRPr="00AF63E6" w:rsidRDefault="00AF63E6" w:rsidP="00AF63E6">
      <w:pPr>
        <w:spacing w:line="234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3E6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</w:t>
      </w:r>
    </w:p>
    <w:p w:rsidR="00AF63E6" w:rsidRPr="00AF63E6" w:rsidRDefault="00AF63E6" w:rsidP="00AF63E6">
      <w:pPr>
        <w:spacing w:line="234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3E6">
        <w:rPr>
          <w:rFonts w:ascii="Times New Roman" w:eastAsia="Times New Roman" w:hAnsi="Times New Roman" w:cs="Times New Roman"/>
          <w:b/>
          <w:sz w:val="28"/>
          <w:szCs w:val="28"/>
        </w:rPr>
        <w:t xml:space="preserve">ТОО «Ломбард </w:t>
      </w:r>
      <w:r w:rsidR="00655E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Жұлдыз-1</w:t>
      </w:r>
      <w:r w:rsidRPr="00AF63E6">
        <w:rPr>
          <w:rFonts w:ascii="Times New Roman" w:eastAsia="Times New Roman" w:hAnsi="Times New Roman" w:cs="Times New Roman"/>
          <w:b/>
          <w:sz w:val="28"/>
          <w:szCs w:val="28"/>
        </w:rPr>
        <w:t xml:space="preserve">» _______________ </w:t>
      </w:r>
      <w:r w:rsidR="00655E1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55E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</w:t>
      </w:r>
      <w:proofErr w:type="spellStart"/>
      <w:r w:rsidR="00C464E5">
        <w:rPr>
          <w:rFonts w:ascii="Times New Roman" w:eastAsia="Times New Roman" w:hAnsi="Times New Roman" w:cs="Times New Roman"/>
          <w:b/>
          <w:sz w:val="28"/>
          <w:szCs w:val="28"/>
        </w:rPr>
        <w:t>рзакулов</w:t>
      </w:r>
      <w:proofErr w:type="spellEnd"/>
      <w:r w:rsidR="00C464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E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bookmarkStart w:id="4" w:name="_GoBack"/>
      <w:bookmarkEnd w:id="4"/>
      <w:r w:rsidR="00C464E5">
        <w:rPr>
          <w:rFonts w:ascii="Times New Roman" w:eastAsia="Times New Roman" w:hAnsi="Times New Roman" w:cs="Times New Roman"/>
          <w:b/>
          <w:sz w:val="28"/>
          <w:szCs w:val="28"/>
        </w:rPr>
        <w:t>.К.</w:t>
      </w:r>
    </w:p>
    <w:sectPr w:rsidR="00AF63E6" w:rsidRPr="00AF63E6" w:rsidSect="000B326E">
      <w:footerReference w:type="default" r:id="rId12"/>
      <w:pgSz w:w="11900" w:h="16838"/>
      <w:pgMar w:top="569" w:right="566" w:bottom="439" w:left="1133" w:header="0" w:footer="0" w:gutter="0"/>
      <w:cols w:space="0" w:equalWidth="0">
        <w:col w:w="1020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7B" w:rsidRDefault="00BB507B" w:rsidP="00974591">
      <w:r>
        <w:separator/>
      </w:r>
    </w:p>
  </w:endnote>
  <w:endnote w:type="continuationSeparator" w:id="0">
    <w:p w:rsidR="00BB507B" w:rsidRDefault="00BB507B" w:rsidP="009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031313"/>
      <w:docPartObj>
        <w:docPartGallery w:val="Page Numbers (Bottom of Page)"/>
        <w:docPartUnique/>
      </w:docPartObj>
    </w:sdtPr>
    <w:sdtEndPr/>
    <w:sdtContent>
      <w:p w:rsidR="00974591" w:rsidRDefault="009745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E12">
          <w:rPr>
            <w:noProof/>
          </w:rPr>
          <w:t>11</w:t>
        </w:r>
        <w:r>
          <w:fldChar w:fldCharType="end"/>
        </w:r>
      </w:p>
    </w:sdtContent>
  </w:sdt>
  <w:p w:rsidR="00974591" w:rsidRDefault="009745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7B" w:rsidRDefault="00BB507B" w:rsidP="00974591">
      <w:r>
        <w:separator/>
      </w:r>
    </w:p>
  </w:footnote>
  <w:footnote w:type="continuationSeparator" w:id="0">
    <w:p w:rsidR="00BB507B" w:rsidRDefault="00BB507B" w:rsidP="0097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8768A4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D4F0BD1C"/>
    <w:lvl w:ilvl="0" w:tplc="FFFFFFFF">
      <w:start w:val="1"/>
      <w:numFmt w:val="bullet"/>
      <w:lvlText w:val="о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3"/>
    <w:multiLevelType w:val="hybridMultilevel"/>
    <w:tmpl w:val="70A64E2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4"/>
    <w:multiLevelType w:val="hybridMultilevel"/>
    <w:tmpl w:val="A6B035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7958CC"/>
    <w:multiLevelType w:val="hybridMultilevel"/>
    <w:tmpl w:val="54CC9694"/>
    <w:lvl w:ilvl="0" w:tplc="3DF4494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072863"/>
    <w:multiLevelType w:val="hybridMultilevel"/>
    <w:tmpl w:val="44EC6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47CB0"/>
    <w:multiLevelType w:val="hybridMultilevel"/>
    <w:tmpl w:val="7F009532"/>
    <w:lvl w:ilvl="0" w:tplc="FFFFFFFF">
      <w:start w:val="1"/>
      <w:numFmt w:val="bullet"/>
      <w:lvlText w:val="-"/>
      <w:lvlJc w:val="left"/>
      <w:pPr>
        <w:ind w:left="827" w:hanging="360"/>
      </w:p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489701D2"/>
    <w:multiLevelType w:val="hybridMultilevel"/>
    <w:tmpl w:val="0AFE2194"/>
    <w:lvl w:ilvl="0" w:tplc="298C46D6">
      <w:start w:val="1"/>
      <w:numFmt w:val="decimal"/>
      <w:lvlText w:val="%1)"/>
      <w:lvlJc w:val="left"/>
      <w:pPr>
        <w:ind w:left="1140" w:hanging="4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E3E78"/>
    <w:multiLevelType w:val="hybridMultilevel"/>
    <w:tmpl w:val="89643A5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13AA"/>
    <w:multiLevelType w:val="multilevel"/>
    <w:tmpl w:val="6B541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D231C0"/>
    <w:multiLevelType w:val="hybridMultilevel"/>
    <w:tmpl w:val="99B2D7F6"/>
    <w:lvl w:ilvl="0" w:tplc="FFFFFFFF">
      <w:start w:val="1"/>
      <w:numFmt w:val="bullet"/>
      <w:lvlText w:val="-"/>
      <w:lvlJc w:val="left"/>
      <w:pPr>
        <w:ind w:left="1447" w:hanging="360"/>
      </w:p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6B126DC3"/>
    <w:multiLevelType w:val="hybridMultilevel"/>
    <w:tmpl w:val="661E1584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59"/>
    <w:rsid w:val="00004146"/>
    <w:rsid w:val="000118AD"/>
    <w:rsid w:val="00011E19"/>
    <w:rsid w:val="000150C5"/>
    <w:rsid w:val="00040BEE"/>
    <w:rsid w:val="0004544B"/>
    <w:rsid w:val="00097834"/>
    <w:rsid w:val="000A63D2"/>
    <w:rsid w:val="000B326E"/>
    <w:rsid w:val="000B62CB"/>
    <w:rsid w:val="000C028C"/>
    <w:rsid w:val="000C69B8"/>
    <w:rsid w:val="000D0C48"/>
    <w:rsid w:val="000E772A"/>
    <w:rsid w:val="000F32EB"/>
    <w:rsid w:val="00111858"/>
    <w:rsid w:val="00122030"/>
    <w:rsid w:val="00126B32"/>
    <w:rsid w:val="001353FA"/>
    <w:rsid w:val="001403EF"/>
    <w:rsid w:val="001559E6"/>
    <w:rsid w:val="00157605"/>
    <w:rsid w:val="00162717"/>
    <w:rsid w:val="001832F2"/>
    <w:rsid w:val="001B1BF2"/>
    <w:rsid w:val="001C0208"/>
    <w:rsid w:val="001D335F"/>
    <w:rsid w:val="001F1F7F"/>
    <w:rsid w:val="001F5467"/>
    <w:rsid w:val="001F6414"/>
    <w:rsid w:val="001F7F11"/>
    <w:rsid w:val="0020255A"/>
    <w:rsid w:val="002028DE"/>
    <w:rsid w:val="002102C5"/>
    <w:rsid w:val="00217373"/>
    <w:rsid w:val="00220414"/>
    <w:rsid w:val="00227869"/>
    <w:rsid w:val="00252381"/>
    <w:rsid w:val="00262F94"/>
    <w:rsid w:val="00290A8C"/>
    <w:rsid w:val="0029231D"/>
    <w:rsid w:val="002B1153"/>
    <w:rsid w:val="002D7344"/>
    <w:rsid w:val="002F5F97"/>
    <w:rsid w:val="00300801"/>
    <w:rsid w:val="003040B2"/>
    <w:rsid w:val="0031643C"/>
    <w:rsid w:val="00331311"/>
    <w:rsid w:val="00331F6B"/>
    <w:rsid w:val="00336AB7"/>
    <w:rsid w:val="00342CC7"/>
    <w:rsid w:val="00346567"/>
    <w:rsid w:val="003556E1"/>
    <w:rsid w:val="00357A44"/>
    <w:rsid w:val="00367561"/>
    <w:rsid w:val="003873DC"/>
    <w:rsid w:val="00394538"/>
    <w:rsid w:val="0039585C"/>
    <w:rsid w:val="00397A94"/>
    <w:rsid w:val="003C74C1"/>
    <w:rsid w:val="003E0279"/>
    <w:rsid w:val="003E27FD"/>
    <w:rsid w:val="003E3C66"/>
    <w:rsid w:val="003F4BE9"/>
    <w:rsid w:val="003F6307"/>
    <w:rsid w:val="00401512"/>
    <w:rsid w:val="004042A5"/>
    <w:rsid w:val="00451BBD"/>
    <w:rsid w:val="0045232B"/>
    <w:rsid w:val="00454162"/>
    <w:rsid w:val="00483ABE"/>
    <w:rsid w:val="00486033"/>
    <w:rsid w:val="004921A4"/>
    <w:rsid w:val="004A4CDE"/>
    <w:rsid w:val="004B6F90"/>
    <w:rsid w:val="004D0552"/>
    <w:rsid w:val="004D47BC"/>
    <w:rsid w:val="00520C92"/>
    <w:rsid w:val="00531222"/>
    <w:rsid w:val="00537D9C"/>
    <w:rsid w:val="00542E0B"/>
    <w:rsid w:val="0055040E"/>
    <w:rsid w:val="005551DA"/>
    <w:rsid w:val="00565A28"/>
    <w:rsid w:val="00566DC4"/>
    <w:rsid w:val="00580764"/>
    <w:rsid w:val="005837C0"/>
    <w:rsid w:val="0059309E"/>
    <w:rsid w:val="005C411D"/>
    <w:rsid w:val="005D2FDE"/>
    <w:rsid w:val="005E1FD6"/>
    <w:rsid w:val="005E63AC"/>
    <w:rsid w:val="005F4059"/>
    <w:rsid w:val="005F6BC5"/>
    <w:rsid w:val="005F7743"/>
    <w:rsid w:val="00601443"/>
    <w:rsid w:val="0060259E"/>
    <w:rsid w:val="0062520C"/>
    <w:rsid w:val="006432AE"/>
    <w:rsid w:val="0064703E"/>
    <w:rsid w:val="00651117"/>
    <w:rsid w:val="00655E12"/>
    <w:rsid w:val="00655ED8"/>
    <w:rsid w:val="00660CFF"/>
    <w:rsid w:val="006778D7"/>
    <w:rsid w:val="00677945"/>
    <w:rsid w:val="0069164B"/>
    <w:rsid w:val="006A00D8"/>
    <w:rsid w:val="006C7335"/>
    <w:rsid w:val="006D11F8"/>
    <w:rsid w:val="006E1E3F"/>
    <w:rsid w:val="006F01C3"/>
    <w:rsid w:val="00700976"/>
    <w:rsid w:val="00732D64"/>
    <w:rsid w:val="0075477B"/>
    <w:rsid w:val="00787AF8"/>
    <w:rsid w:val="00795C85"/>
    <w:rsid w:val="007A3360"/>
    <w:rsid w:val="007D2120"/>
    <w:rsid w:val="007E55FE"/>
    <w:rsid w:val="007E6BBB"/>
    <w:rsid w:val="00810676"/>
    <w:rsid w:val="00813EF7"/>
    <w:rsid w:val="00824196"/>
    <w:rsid w:val="00826262"/>
    <w:rsid w:val="00843B6B"/>
    <w:rsid w:val="008827F6"/>
    <w:rsid w:val="00884687"/>
    <w:rsid w:val="008A1973"/>
    <w:rsid w:val="008A2239"/>
    <w:rsid w:val="008A3808"/>
    <w:rsid w:val="008B6237"/>
    <w:rsid w:val="008C163C"/>
    <w:rsid w:val="008E30C5"/>
    <w:rsid w:val="008E3E6D"/>
    <w:rsid w:val="0092525A"/>
    <w:rsid w:val="0093419F"/>
    <w:rsid w:val="00963940"/>
    <w:rsid w:val="00971357"/>
    <w:rsid w:val="00974591"/>
    <w:rsid w:val="00976957"/>
    <w:rsid w:val="009841DC"/>
    <w:rsid w:val="00992BD5"/>
    <w:rsid w:val="00996C97"/>
    <w:rsid w:val="009C5372"/>
    <w:rsid w:val="009C7DFF"/>
    <w:rsid w:val="00A064AE"/>
    <w:rsid w:val="00A13941"/>
    <w:rsid w:val="00A34603"/>
    <w:rsid w:val="00A358EA"/>
    <w:rsid w:val="00A51117"/>
    <w:rsid w:val="00A51F5E"/>
    <w:rsid w:val="00A53959"/>
    <w:rsid w:val="00A5447C"/>
    <w:rsid w:val="00A62DF2"/>
    <w:rsid w:val="00A64F0F"/>
    <w:rsid w:val="00A901BE"/>
    <w:rsid w:val="00A91A25"/>
    <w:rsid w:val="00AA3037"/>
    <w:rsid w:val="00AA3EA0"/>
    <w:rsid w:val="00AB7717"/>
    <w:rsid w:val="00AE611F"/>
    <w:rsid w:val="00AF63E6"/>
    <w:rsid w:val="00B06E99"/>
    <w:rsid w:val="00B15C71"/>
    <w:rsid w:val="00B165F5"/>
    <w:rsid w:val="00B17853"/>
    <w:rsid w:val="00B25D0A"/>
    <w:rsid w:val="00B25F59"/>
    <w:rsid w:val="00B2745A"/>
    <w:rsid w:val="00B36BC5"/>
    <w:rsid w:val="00B4353B"/>
    <w:rsid w:val="00B54971"/>
    <w:rsid w:val="00B5556D"/>
    <w:rsid w:val="00B57E6A"/>
    <w:rsid w:val="00B62AC1"/>
    <w:rsid w:val="00B81F82"/>
    <w:rsid w:val="00B935B9"/>
    <w:rsid w:val="00BA102F"/>
    <w:rsid w:val="00BA58BE"/>
    <w:rsid w:val="00BA5914"/>
    <w:rsid w:val="00BB507B"/>
    <w:rsid w:val="00BB59A8"/>
    <w:rsid w:val="00BC3B04"/>
    <w:rsid w:val="00BF6AA9"/>
    <w:rsid w:val="00C27945"/>
    <w:rsid w:val="00C464E5"/>
    <w:rsid w:val="00CD0C50"/>
    <w:rsid w:val="00CD6DA0"/>
    <w:rsid w:val="00CD72B6"/>
    <w:rsid w:val="00CE4649"/>
    <w:rsid w:val="00CE4E8A"/>
    <w:rsid w:val="00CE64A9"/>
    <w:rsid w:val="00CF53EE"/>
    <w:rsid w:val="00D025E4"/>
    <w:rsid w:val="00D04A7C"/>
    <w:rsid w:val="00D23A2F"/>
    <w:rsid w:val="00D25A6F"/>
    <w:rsid w:val="00D30B33"/>
    <w:rsid w:val="00D661C0"/>
    <w:rsid w:val="00D85A02"/>
    <w:rsid w:val="00DA0ED9"/>
    <w:rsid w:val="00DA6830"/>
    <w:rsid w:val="00DB7D04"/>
    <w:rsid w:val="00DC2B9E"/>
    <w:rsid w:val="00DD18A3"/>
    <w:rsid w:val="00DD6C73"/>
    <w:rsid w:val="00DF7DB9"/>
    <w:rsid w:val="00E0231F"/>
    <w:rsid w:val="00E10314"/>
    <w:rsid w:val="00E1416E"/>
    <w:rsid w:val="00E21503"/>
    <w:rsid w:val="00E571E8"/>
    <w:rsid w:val="00E61E49"/>
    <w:rsid w:val="00E71A58"/>
    <w:rsid w:val="00E854DC"/>
    <w:rsid w:val="00E9195B"/>
    <w:rsid w:val="00EA21E5"/>
    <w:rsid w:val="00EA5003"/>
    <w:rsid w:val="00EB6313"/>
    <w:rsid w:val="00EE01A8"/>
    <w:rsid w:val="00EF3FA4"/>
    <w:rsid w:val="00F03340"/>
    <w:rsid w:val="00F31D98"/>
    <w:rsid w:val="00F47522"/>
    <w:rsid w:val="00F51A42"/>
    <w:rsid w:val="00F5641A"/>
    <w:rsid w:val="00F97753"/>
    <w:rsid w:val="00FA261D"/>
    <w:rsid w:val="00FA504D"/>
    <w:rsid w:val="00FC16A1"/>
    <w:rsid w:val="00FF0CCD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63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B6313"/>
  </w:style>
  <w:style w:type="paragraph" w:styleId="a5">
    <w:name w:val="header"/>
    <w:basedOn w:val="a"/>
    <w:link w:val="a6"/>
    <w:uiPriority w:val="99"/>
    <w:unhideWhenUsed/>
    <w:rsid w:val="009745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591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45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591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63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B6313"/>
  </w:style>
  <w:style w:type="paragraph" w:styleId="a5">
    <w:name w:val="header"/>
    <w:basedOn w:val="a"/>
    <w:link w:val="a6"/>
    <w:uiPriority w:val="99"/>
    <w:unhideWhenUsed/>
    <w:rsid w:val="009745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591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45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591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2788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00003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D4A2F-BA85-4880-8E0D-F6BEBFDD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SidWilson</dc:creator>
  <cp:lastModifiedBy>User017</cp:lastModifiedBy>
  <cp:revision>3</cp:revision>
  <cp:lastPrinted>2020-05-19T06:09:00Z</cp:lastPrinted>
  <dcterms:created xsi:type="dcterms:W3CDTF">2020-10-15T05:38:00Z</dcterms:created>
  <dcterms:modified xsi:type="dcterms:W3CDTF">2020-10-15T05:42:00Z</dcterms:modified>
</cp:coreProperties>
</file>